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100"/>
        <w:jc w:val="center"/>
      </w:pPr>
      <w:r>
        <w:rPr>
          <w:b/>
          <w:bCs/>
          <w:sz w:val="36"/>
          <w:szCs w:val="36"/>
        </w:rPr>
        <w:t xml:space="preserve">www.sendproud.com</w:t>
      </w:r>
    </w:p>
    <w:p>
      <w:pPr>
        <w:pStyle w:val="Heading1"/>
        <w:spacing w:after="100"/>
        <w:jc w:val="center"/>
      </w:pPr>
      <w:r>
        <w:rPr>
          <w:b/>
          <w:bCs/>
          <w:sz w:val="32"/>
          <w:szCs w:val="32"/>
        </w:rPr>
        <w:t xml:space="preserve">Accessibility Conformance Report</w:t>
      </w:r>
    </w:p>
    <w:p>
      <w:pPr>
        <w:spacing w:after="50"/>
        <w:jc w:val="center"/>
      </w:pPr>
      <w:r>
        <w:rPr>
          <w:sz w:val="24"/>
          <w:szCs w:val="24"/>
        </w:rPr>
        <w:t xml:space="preserve">WCAG Edition</w:t>
      </w:r>
    </w:p>
    <w:p>
      <w:pPr>
        <w:spacing w:after="400"/>
        <w:jc w:val="center"/>
      </w:pPr>
      <w:r>
        <w:rPr>
          <w:i/>
          <w:iCs/>
          <w:color w:val="666666"/>
          <w:sz w:val="20"/>
          <w:szCs w:val="20"/>
        </w:rPr>
        <w:t xml:space="preserve">(Based on VPAT® Version 2.5)</w:t>
      </w:r>
    </w:p>
    <w:p>
      <w:pPr>
        <w:spacing w:after="100"/>
      </w:pPr>
      <w:r>
        <w:rPr>
          <w:b/>
          <w:bCs/>
          <w:sz w:val="20"/>
          <w:szCs w:val="20"/>
        </w:rPr>
        <w:t xml:space="preserve">Name of Product/Version: </w:t>
      </w:r>
      <w:r>
        <w:rPr>
          <w:sz w:val="20"/>
          <w:szCs w:val="20"/>
        </w:rPr>
        <w:t xml:space="preserve">www.sendproud.com</w:t>
      </w:r>
    </w:p>
    <w:p>
      <w:pPr>
        <w:spacing w:after="100"/>
      </w:pPr>
      <w:r>
        <w:rPr>
          <w:b/>
          <w:bCs/>
          <w:sz w:val="20"/>
          <w:szCs w:val="20"/>
        </w:rPr>
        <w:t xml:space="preserve">Report Date: </w:t>
      </w:r>
      <w:r>
        <w:rPr>
          <w:sz w:val="20"/>
          <w:szCs w:val="20"/>
        </w:rPr>
        <w:t xml:space="preserve">May 21, 2026</w:t>
      </w:r>
    </w:p>
    <w:p>
      <w:pPr>
        <w:spacing w:after="100"/>
      </w:pPr>
      <w:r>
        <w:rPr>
          <w:b/>
          <w:bCs/>
          <w:sz w:val="20"/>
          <w:szCs w:val="20"/>
        </w:rPr>
        <w:t xml:space="preserve">Product Description: </w:t>
      </w:r>
      <w:r>
        <w:rPr>
          <w:sz w:val="20"/>
          <w:szCs w:val="20"/>
        </w:rPr>
        <w:t xml:space="preserve">Web application audited at https://www.sendproud.com/</w:t>
      </w:r>
    </w:p>
    <w:p>
      <w:pPr>
        <w:spacing w:after="100"/>
      </w:pPr>
      <w:r>
        <w:rPr>
          <w:b/>
          <w:bCs/>
          <w:sz w:val="20"/>
          <w:szCs w:val="20"/>
        </w:rPr>
        <w:t xml:space="preserve">Contact Information: </w:t>
      </w:r>
      <w:r>
        <w:rPr>
          <w:i/>
          <w:iCs/>
          <w:color w:val="666666"/>
          <w:sz w:val="20"/>
          <w:szCs w:val="20"/>
        </w:rPr>
        <w:t xml:space="preserve">[Company/Author Name] · [email] · [website]</w:t>
      </w:r>
    </w:p>
    <w:p>
      <w:pPr>
        <w:spacing w:after="100"/>
      </w:pPr>
      <w:r>
        <w:rPr>
          <w:b/>
          <w:bCs/>
          <w:sz w:val="20"/>
          <w:szCs w:val="20"/>
        </w:rPr>
        <w:t xml:space="preserve">Notes: </w:t>
      </w:r>
      <w:r>
        <w:rPr>
          <w:sz w:val="20"/>
          <w:szCs w:val="20"/>
        </w:rPr>
        <w:t xml:space="preserve">This report was generated using automated accessibility testing supplemented by heuristic analysis. Manual testing is recommended for complete WCAG conformance verification.</w:t>
      </w:r>
    </w:p>
    <w:p>
      <w:pPr>
        <w:spacing w:after="100"/>
      </w:pPr>
      <w:r>
        <w:rPr>
          <w:b/>
          <w:bCs/>
          <w:sz w:val="20"/>
          <w:szCs w:val="20"/>
        </w:rPr>
        <w:t xml:space="preserve">Evaluation Methods Used: </w:t>
      </w:r>
      <w:r>
        <w:rPr>
          <w:sz w:val="20"/>
          <w:szCs w:val="20"/>
        </w:rPr>
        <w:t xml:space="preserve">Automated accessibility testing using axe-core 4.9.1 (Deque Systems) plus AccessSpark custom checks, rendered via Playwright (JavaScript-rendered content). Covers WCAG 2.0/2.1/2.2 Level A and AA criteria including structure, semantics, ARIA, color contrast, keyboard navigation, and focus management.</w:t>
      </w:r>
    </w:p>
    <w:p>
      <w:pPr>
        <w:spacing w:after="100"/>
      </w:pPr>
      <w:r>
        <w:rPr>
          <w:b/>
          <w:bCs/>
          <w:sz w:val="20"/>
          <w:szCs w:val="20"/>
        </w:rPr>
        <w:t xml:space="preserve">Scope Note: </w:t>
      </w:r>
      <w:r>
        <w:rPr>
          <w:sz w:val="20"/>
          <w:szCs w:val="20"/>
        </w:rPr>
        <w:t xml:space="preserve">This report covers automated detection of structural and semantic accessibility issues. Criteria marked “Not Evaluated” require manual testing with assistive technologies. Criteria marked “Supports” indicate no automated issues were detected but do not constitute a guarantee of full conformance.</w:t>
      </w:r>
    </w:p>
    <w:p>
      <w:pPr>
        <w:spacing w:before="200"/>
      </w:pPr>
    </w:p>
    <w:p>
      <w:pPr>
        <w:pStyle w:val="Heading2"/>
        <w:spacing w:after="200" w:before="300"/>
      </w:pPr>
      <w:r>
        <w:rPr>
          <w:b/>
          <w:bCs/>
          <w:sz w:val="24"/>
          <w:szCs w:val="24"/>
        </w:rPr>
        <w:t xml:space="preserve">Applicable Standards/Guidelines</w:t>
      </w:r>
    </w:p>
    <w:tbl>
      <w:tblPr>
        <w:tblW w:type="dxa" w:w="9360"/>
        <w:tblBorders>
          <w:top w:val="single" w:color="auto" w:sz="4"/>
          <w:left w:val="single" w:color="auto" w:sz="4"/>
          <w:bottom w:val="single" w:color="auto" w:sz="4"/>
          <w:right w:val="single" w:color="auto" w:sz="4"/>
          <w:insideH w:val="single" w:color="auto" w:sz="4"/>
          <w:insideV w:val="single" w:color="auto" w:sz="4"/>
        </w:tblBorders>
        <w:tblLayout w:type="fixed"/>
      </w:tblPr>
      <w:tblGrid>
        <w:gridCol w:w="100"/>
        <w:gridCol w:w="100"/>
      </w:tblGrid>
      <w:tr>
        <w:trPr>
          <w:tblHeader/>
        </w:trPr>
        <w:tc>
          <w:tcPr>
            <w:tcW w:type="dxa" w:w="5000"/>
            <w:shd w:fill="1e3a5f" w:color="1e3a5f" w:val="solid"/>
          </w:tcPr>
          <w:p>
            <w:r>
              <w:rPr>
                <w:b/>
                <w:bCs/>
                <w:color w:val="ffffff"/>
                <w:sz w:val="20"/>
                <w:szCs w:val="20"/>
              </w:rPr>
              <w:t xml:space="preserve">Standard/Guideline</w:t>
            </w:r>
          </w:p>
        </w:tc>
        <w:tc>
          <w:tcPr>
            <w:tcW w:type="dxa" w:w="4360"/>
            <w:shd w:fill="1e3a5f" w:color="1e3a5f" w:val="solid"/>
          </w:tcPr>
          <w:p>
            <w:r>
              <w:rPr>
                <w:b/>
                <w:bCs/>
                <w:color w:val="ffffff"/>
                <w:sz w:val="20"/>
                <w:szCs w:val="20"/>
              </w:rPr>
              <w:t xml:space="preserve">Included in Report</w:t>
            </w:r>
          </w:p>
        </w:tc>
      </w:tr>
      <w:tr>
        <w:tc>
          <w:tcPr>
            <w:tcW w:type="dxa" w:w="5000"/>
          </w:tcPr>
          <w:p>
            <w:r>
              <w:rPr>
                <w:sz w:val="20"/>
                <w:szCs w:val="20"/>
              </w:rPr>
              <w:t xml:space="preserve">Web Content Accessibility Guidelines 2.1</w:t>
            </w:r>
          </w:p>
        </w:tc>
        <w:tc>
          <w:tcPr>
            <w:tcW w:type="dxa" w:w="4360"/>
          </w:tcPr>
          <w:p>
            <w:r>
              <w:rPr>
                <w:sz w:val="20"/>
                <w:szCs w:val="20"/>
              </w:rPr>
              <w:t xml:space="preserve">Yes</w:t>
            </w:r>
          </w:p>
        </w:tc>
      </w:tr>
      <w:tr>
        <w:tc>
          <w:tcPr>
            <w:tcW w:type="dxa" w:w="5000"/>
          </w:tcPr>
          <w:p>
            <w:r>
              <w:rPr>
                <w:sz w:val="20"/>
                <w:szCs w:val="20"/>
              </w:rPr>
              <w:t xml:space="preserve">Web Content Accessibility Guidelines 2.2</w:t>
            </w:r>
          </w:p>
        </w:tc>
        <w:tc>
          <w:tcPr>
            <w:tcW w:type="dxa" w:w="4360"/>
          </w:tcPr>
          <w:p>
            <w:r>
              <w:rPr>
                <w:sz w:val="20"/>
                <w:szCs w:val="20"/>
              </w:rPr>
              <w:t xml:space="preserve">Partial</w:t>
            </w:r>
          </w:p>
        </w:tc>
      </w:tr>
    </w:tbl>
    <w:p>
      <w:pPr>
        <w:spacing w:before="300"/>
      </w:pPr>
    </w:p>
    <w:p>
      <w:pPr>
        <w:pStyle w:val="Heading2"/>
        <w:spacing w:after="100" w:before="300"/>
      </w:pPr>
      <w:r>
        <w:rPr>
          <w:b/>
          <w:bCs/>
          <w:sz w:val="24"/>
          <w:szCs w:val="24"/>
        </w:rPr>
        <w:t xml:space="preserve">Terms</w:t>
      </w:r>
    </w:p>
    <w:p>
      <w:pPr>
        <w:spacing w:after="50"/>
      </w:pPr>
      <w:r>
        <w:rPr>
          <w:sz w:val="20"/>
          <w:szCs w:val="20"/>
        </w:rPr>
        <w:t xml:space="preserve">• </w:t>
      </w:r>
      <w:r>
        <w:rPr>
          <w:b/>
          <w:bCs/>
          <w:sz w:val="20"/>
          <w:szCs w:val="20"/>
        </w:rPr>
        <w:t xml:space="preserve">Supports: </w:t>
      </w:r>
      <w:r>
        <w:rPr>
          <w:sz w:val="20"/>
          <w:szCs w:val="20"/>
        </w:rPr>
        <w:t xml:space="preserve">The product meets the criterion.</w:t>
      </w:r>
    </w:p>
    <w:p>
      <w:pPr>
        <w:spacing w:after="50"/>
      </w:pPr>
      <w:r>
        <w:rPr>
          <w:sz w:val="20"/>
          <w:szCs w:val="20"/>
        </w:rPr>
        <w:t xml:space="preserve">• </w:t>
      </w:r>
      <w:r>
        <w:rPr>
          <w:b/>
          <w:bCs/>
          <w:sz w:val="20"/>
          <w:szCs w:val="20"/>
        </w:rPr>
        <w:t xml:space="preserve">Partially Supports: </w:t>
      </w:r>
      <w:r>
        <w:rPr>
          <w:sz w:val="20"/>
          <w:szCs w:val="20"/>
        </w:rPr>
        <w:t xml:space="preserve">Some functionality meets the criterion.</w:t>
      </w:r>
    </w:p>
    <w:p>
      <w:pPr>
        <w:spacing w:after="50"/>
      </w:pPr>
      <w:r>
        <w:rPr>
          <w:sz w:val="20"/>
          <w:szCs w:val="20"/>
        </w:rPr>
        <w:t xml:space="preserve">• </w:t>
      </w:r>
      <w:r>
        <w:rPr>
          <w:b/>
          <w:bCs/>
          <w:sz w:val="20"/>
          <w:szCs w:val="20"/>
        </w:rPr>
        <w:t xml:space="preserve">Does Not Support: </w:t>
      </w:r>
      <w:r>
        <w:rPr>
          <w:sz w:val="20"/>
          <w:szCs w:val="20"/>
        </w:rPr>
        <w:t xml:space="preserve">The functionality does not meet the criterion.</w:t>
      </w:r>
    </w:p>
    <w:p>
      <w:pPr>
        <w:spacing w:after="50"/>
      </w:pPr>
      <w:r>
        <w:rPr>
          <w:sz w:val="20"/>
          <w:szCs w:val="20"/>
        </w:rPr>
        <w:t xml:space="preserve">• </w:t>
      </w:r>
      <w:r>
        <w:rPr>
          <w:b/>
          <w:bCs/>
          <w:sz w:val="20"/>
          <w:szCs w:val="20"/>
        </w:rPr>
        <w:t xml:space="preserve">Not Applicable: </w:t>
      </w:r>
      <w:r>
        <w:rPr>
          <w:sz w:val="20"/>
          <w:szCs w:val="20"/>
        </w:rPr>
        <w:t xml:space="preserve">The criterion is not relevant to this product.</w:t>
      </w:r>
    </w:p>
    <w:p>
      <w:pPr>
        <w:spacing w:after="50"/>
      </w:pPr>
      <w:r>
        <w:rPr>
          <w:sz w:val="20"/>
          <w:szCs w:val="20"/>
        </w:rPr>
        <w:t xml:space="preserve">• </w:t>
      </w:r>
      <w:r>
        <w:rPr>
          <w:b/>
          <w:bCs/>
          <w:sz w:val="20"/>
          <w:szCs w:val="20"/>
        </w:rPr>
        <w:t xml:space="preserve">Not Evaluated: </w:t>
      </w:r>
      <w:r>
        <w:rPr>
          <w:sz w:val="20"/>
          <w:szCs w:val="20"/>
        </w:rPr>
        <w:t xml:space="preserve">The product has not been evaluated against this criterion.</w:t>
      </w:r>
    </w:p>
    <w:p>
      <w:pPr>
        <w:pStyle w:val="Heading2"/>
        <w:spacing w:after="200" w:before="400"/>
      </w:pPr>
      <w:r>
        <w:rPr>
          <w:b/>
          <w:bCs/>
          <w:sz w:val="28"/>
          <w:szCs w:val="28"/>
        </w:rPr>
        <w:t xml:space="preserve">Table 1: Success Criteria, Level A</w:t>
      </w:r>
    </w:p>
    <w:tbl>
      <w:tblPr>
        <w:tblW w:type="dxa" w:w="9360"/>
        <w:tblBorders>
          <w:top w:val="single" w:color="auto" w:sz="4"/>
          <w:left w:val="single" w:color="auto" w:sz="4"/>
          <w:bottom w:val="single" w:color="auto" w:sz="4"/>
          <w:right w:val="single" w:color="auto" w:sz="4"/>
          <w:insideH w:val="single" w:color="auto" w:sz="4"/>
          <w:insideV w:val="single" w:color="auto" w:sz="4"/>
        </w:tblBorders>
        <w:tblLayout w:type="fixed"/>
      </w:tblPr>
      <w:tblGrid>
        <w:gridCol w:w="100"/>
        <w:gridCol w:w="100"/>
        <w:gridCol w:w="100"/>
      </w:tblGrid>
      <w:tr>
        <w:trPr>
          <w:tblHeader/>
        </w:trPr>
        <w:tc>
          <w:tcPr>
            <w:tcW w:type="dxa" w:w="3000"/>
            <w:shd w:fill="1e3a5f" w:color="1e3a5f" w:val="solid"/>
          </w:tcPr>
          <w:p>
            <w:r>
              <w:rPr>
                <w:b/>
                <w:bCs/>
                <w:color w:val="ffffff"/>
                <w:sz w:val="20"/>
                <w:szCs w:val="20"/>
              </w:rPr>
              <w:t xml:space="preserve">Criteria</w:t>
            </w:r>
          </w:p>
        </w:tc>
        <w:tc>
          <w:tcPr>
            <w:tcW w:type="dxa" w:w="1800"/>
            <w:shd w:fill="1e3a5f" w:color="1e3a5f" w:val="solid"/>
          </w:tcPr>
          <w:p>
            <w:r>
              <w:rPr>
                <w:b/>
                <w:bCs/>
                <w:color w:val="ffffff"/>
                <w:sz w:val="20"/>
                <w:szCs w:val="20"/>
              </w:rPr>
              <w:t xml:space="preserve">Conformance Level</w:t>
            </w:r>
          </w:p>
        </w:tc>
        <w:tc>
          <w:tcPr>
            <w:tcW w:type="dxa" w:w="4560"/>
            <w:shd w:fill="1e3a5f" w:color="1e3a5f" w:val="solid"/>
          </w:tcPr>
          <w:p>
            <w:r>
              <w:rPr>
                <w:b/>
                <w:bCs/>
                <w:color w:val="ffffff"/>
                <w:sz w:val="20"/>
                <w:szCs w:val="20"/>
              </w:rPr>
              <w:t xml:space="preserve">Remarks and Explanations</w:t>
            </w:r>
          </w:p>
        </w:tc>
      </w:tr>
      <w:tr>
        <w:tc>
          <w:tcPr>
            <w:tcW w:type="dxa" w:w="3000"/>
            <w:shd w:fill="dce6f1" w:color="dce6f1" w:val="solid"/>
          </w:tcPr>
          <w:p>
            <w:r>
              <w:rPr>
                <w:b/>
                <w:bCs/>
                <w:sz w:val="20"/>
                <w:szCs w:val="20"/>
              </w:rPr>
              <w:t xml:space="preserve">Principle 1: Perceivable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1.1.1 Non-text Content</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1.2.1 Audio-only and Video-only (Prerecorded)</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1.2.2 Captions (Prerecorded)</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1.2.3 Audio Description or Media Alternative (Prerecorded)</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1.3.1 Info and Relationships</w:t>
            </w:r>
          </w:p>
        </w:tc>
        <w:tc>
          <w:tcPr>
            <w:tcW w:type="dxa" w:w="1800"/>
          </w:tcPr>
          <w:p>
            <w:r>
              <w:rPr>
                <w:b/>
                <w:bCs/>
                <w:color w:val="c00000"/>
                <w:sz w:val="18"/>
                <w:szCs w:val="18"/>
              </w:rPr>
              <w:t xml:space="preserve">Does Not Support</w:t>
            </w:r>
          </w:p>
        </w:tc>
        <w:tc>
          <w:tcPr>
            <w:tcW w:type="dxa" w:w="4560"/>
          </w:tcPr>
          <w:p>
            <w:r>
              <w:rPr>
                <w:sz w:val="18"/>
                <w:szCs w:val="18"/>
              </w:rPr>
              <w:t xml:space="preserve">Missing &lt;main&gt; landmark: No &lt;main&gt; element found. Screen readers use landmarks for page navigation. Fix: Add a &lt;main&gt; element to define the main region of the page. | Missing &lt;header&gt; landmark: No &lt;header&gt; element found. Screen readers use landmarks for page navigation. Fix: Add a &lt;header&gt; element to define the header region of the page. | Missing &lt;footer&gt; landmark: No &lt;footer&gt; element found. Screen readers use landmarks for page navigation. Fix: Add a &lt;footer&gt; element to define the footer region of the page. | Form input missing label: &lt;input type="search" id="search"&gt; has no associated label. Fix: Add a &lt;label for="inputId"&gt; or aria-label attribute. | No H1 heading found: Page has no H1 element. Every page should have exactly one H1. Fix: Add a single H1 element that describes the page content. | H1 is not the first heading element: First heading is &lt;h6&gt;. H1 should be the first heading on the page. Fix: Ensure H1 appears before any other heading. Convert eyebrow labels to &lt;p&gt; or &lt;span&gt;. | Heading levels should only increase by one: Ensure the order of headings is semantically correct Fix: Heading order invalid (Screenshot evidence captured — see audit report for visual confirmation.) | Document should have one main landmark: Ensure the document has a main landmark Fix: Document does not have a main landmark | All page content should be contained by landmarks: Ensure all page content is contained by landmarks Fix: Some page content is not contained by landmarks</w:t>
            </w:r>
          </w:p>
        </w:tc>
      </w:tr>
      <w:tr>
        <w:tc>
          <w:tcPr>
            <w:tcW w:type="dxa" w:w="3000"/>
          </w:tcPr>
          <w:p>
            <w:r>
              <w:rPr>
                <w:sz w:val="18"/>
                <w:szCs w:val="18"/>
              </w:rPr>
              <w:t xml:space="preserve">1.3.2 Meaningful Sequence</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1.3.3 Sensory Characteristics</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1.4.1 Use of Color</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1.4.2 Audio Control</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shd w:fill="dce6f1" w:color="dce6f1" w:val="solid"/>
          </w:tcPr>
          <w:p>
            <w:r>
              <w:rPr>
                <w:b/>
                <w:bCs/>
                <w:sz w:val="20"/>
                <w:szCs w:val="20"/>
              </w:rPr>
              <w:t xml:space="preserve">Principle 2: Operable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2.1.1 Keyboard</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2.1.2 No Keyboard Trap</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2.1.4 Character Key Shortcuts</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2.2.1 Timing Adjustable</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2.2.2 Pause, Stop, Hide</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2.3.1 Three Flashes or Below Threshold</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2.4.1 Bypass Blocks</w:t>
            </w:r>
          </w:p>
        </w:tc>
        <w:tc>
          <w:tcPr>
            <w:tcW w:type="dxa" w:w="1800"/>
          </w:tcPr>
          <w:p>
            <w:r>
              <w:rPr>
                <w:b/>
                <w:bCs/>
                <w:color w:val="b85c00"/>
                <w:sz w:val="18"/>
                <w:szCs w:val="18"/>
              </w:rPr>
              <w:t xml:space="preserve">Partially Supports</w:t>
            </w:r>
          </w:p>
        </w:tc>
        <w:tc>
          <w:tcPr>
            <w:tcW w:type="dxa" w:w="4560"/>
          </w:tcPr>
          <w:p>
            <w:r>
              <w:rPr>
                <w:sz w:val="18"/>
                <w:szCs w:val="18"/>
              </w:rPr>
              <w:t xml:space="preserve">Skip link target is not programmatically focusable: Skip link target exists but is missing tabindex="-1". Focus may not land correctly in Firefox and some screen readers. Fix: Add tabindex="-1" to the element with id="Top".</w:t>
            </w:r>
          </w:p>
        </w:tc>
      </w:tr>
      <w:tr>
        <w:tc>
          <w:tcPr>
            <w:tcW w:type="dxa" w:w="3000"/>
          </w:tcPr>
          <w:p>
            <w:r>
              <w:rPr>
                <w:sz w:val="18"/>
                <w:szCs w:val="18"/>
              </w:rPr>
              <w:t xml:space="preserve">2.4.2 Page Titled</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2.4.3 Focus Order</w:t>
            </w:r>
          </w:p>
        </w:tc>
        <w:tc>
          <w:tcPr>
            <w:tcW w:type="dxa" w:w="1800"/>
          </w:tcPr>
          <w:p>
            <w:r>
              <w:rPr>
                <w:b/>
                <w:bCs/>
                <w:color w:val="b85c00"/>
                <w:sz w:val="18"/>
                <w:szCs w:val="18"/>
              </w:rPr>
              <w:t xml:space="preserve">Partially Supports</w:t>
            </w:r>
          </w:p>
        </w:tc>
        <w:tc>
          <w:tcPr>
            <w:tcW w:type="dxa" w:w="4560"/>
          </w:tcPr>
          <w:p>
            <w:r>
              <w:rPr>
                <w:sz w:val="18"/>
                <w:szCs w:val="18"/>
              </w:rPr>
              <w:t xml:space="preserve">Hash target missing scroll-margin-top for fixed nav: #Top may be obscured by fixed navigation when scrolled to via hash link. Fix: Add CSS: #Top { scroll-margin-top: 80px; } (adjust to match nav height). (Screenshot evidence captured — see audit report for visual confirmation.)</w:t>
            </w:r>
          </w:p>
        </w:tc>
      </w:tr>
      <w:tr>
        <w:tc>
          <w:tcPr>
            <w:tcW w:type="dxa" w:w="3000"/>
          </w:tcPr>
          <w:p>
            <w:r>
              <w:rPr>
                <w:sz w:val="18"/>
                <w:szCs w:val="18"/>
              </w:rPr>
              <w:t xml:space="preserve">2.4.4 Link Purpose (In Context)</w:t>
            </w:r>
          </w:p>
        </w:tc>
        <w:tc>
          <w:tcPr>
            <w:tcW w:type="dxa" w:w="1800"/>
          </w:tcPr>
          <w:p>
            <w:r>
              <w:rPr>
                <w:b/>
                <w:bCs/>
                <w:color w:val="c00000"/>
                <w:sz w:val="18"/>
                <w:szCs w:val="18"/>
              </w:rPr>
              <w:t xml:space="preserve">Does Not Support</w:t>
            </w:r>
          </w:p>
        </w:tc>
        <w:tc>
          <w:tcPr>
            <w:tcW w:type="dxa" w:w="4560"/>
          </w:tcPr>
          <w:p>
            <w:r>
              <w:rPr>
                <w:sz w:val="18"/>
                <w:szCs w:val="18"/>
              </w:rPr>
              <w:t xml:space="preserve">External link missing rel="noopener noreferrer": Link to "https://calendly.com/sendproud/30min" opens in new tab without rel="noopener noreferrer". Fix: Add rel="noopener noreferrer" to all links with target="_blank". | External link missing rel="noopener noreferrer": Link to "https://calendly.com/sendproud/30min?month=2026-04" opens in new tab without rel="noopener noreferrer". Fix: Add rel="noopener noreferrer" to all links with target="_blank". | External link missing rel="noopener noreferrer": Link to "https://calendly.com/sendproud/30min" opens in new tab without rel="noopener noreferrer". Fix: Add rel="noopener noreferrer" to all links with target="_blank". | External link missing rel="noopener noreferrer": Link to "https://calendly.com/sendproud/30min" opens in new tab without rel="noopener noreferrer". Fix: Add rel="noopener noreferrer" to all links with target="_blank". | External link missing rel="noopener noreferrer": Link to "https://calendly.com/sendproud/30min" opens in new tab without rel="noopener noreferrer". Fix: Add rel="noopener noreferrer" to all links with target="_blank". | External link missing rel="noopener noreferrer": Link to "https://calendly.com/sendproud/30min" opens in new tab without rel="noopener noreferrer". Fix: Add rel="noopener noreferrer" to all links with target="_blank". | External link missing rel="noopener noreferrer": Link to "https://calendly.com/sendproud/30min" opens in new tab without rel="noopener noreferrer". Fix: Add rel="noopener noreferrer" to all links with target="_blank". | Links must have discernible text: Ensure links have discernible text Fix: Element is in tab order and does not have accessible text
  Element does not have text that is visible to screen readers
  aria-label attribute does not exist or is empty
  aria-labelledby attribute does not exist, references elements that do not exist or references elements that are empty
  Element has no title attribute (Screenshot evidence captured — see audit report for visual confirmation.)</w:t>
            </w:r>
          </w:p>
        </w:tc>
      </w:tr>
      <w:tr>
        <w:tc>
          <w:tcPr>
            <w:tcW w:type="dxa" w:w="3000"/>
          </w:tcPr>
          <w:p>
            <w:r>
              <w:rPr>
                <w:sz w:val="18"/>
                <w:szCs w:val="18"/>
              </w:rPr>
              <w:t xml:space="preserve">2.5.1 Pointer Gestures</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2.5.2 Pointer Cancellation</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2.5.3 Label in Name</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2.5.4 Motion Actuation</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shd w:fill="dce6f1" w:color="dce6f1" w:val="solid"/>
          </w:tcPr>
          <w:p>
            <w:r>
              <w:rPr>
                <w:b/>
                <w:bCs/>
                <w:sz w:val="20"/>
                <w:szCs w:val="20"/>
              </w:rPr>
              <w:t xml:space="preserve">Principle 3: Understandable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3.1.1 Language of Page</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3.2.1 On Focus</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3.2.2 On Input</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3.3.1 Error Identification</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3.3.2 Labels or Instructions</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shd w:fill="dce6f1" w:color="dce6f1" w:val="solid"/>
          </w:tcPr>
          <w:p>
            <w:r>
              <w:rPr>
                <w:b/>
                <w:bCs/>
                <w:sz w:val="20"/>
                <w:szCs w:val="20"/>
              </w:rPr>
              <w:t xml:space="preserve">Principle 4: Robust</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4.1.1 Parsing (Obsolete and removed)</w:t>
            </w:r>
          </w:p>
        </w:tc>
        <w:tc>
          <w:tcPr>
            <w:tcW w:type="dxa" w:w="1800"/>
          </w:tcPr>
          <w:p>
            <w:r>
              <w:rPr>
                <w:b/>
                <w:bCs/>
                <w:color w:val="666666"/>
                <w:sz w:val="18"/>
                <w:szCs w:val="18"/>
              </w:rPr>
              <w:t xml:space="preserve">Not Applicable</w:t>
            </w:r>
          </w:p>
        </w:tc>
        <w:tc>
          <w:tcPr>
            <w:tcW w:type="dxa" w:w="4560"/>
          </w:tcPr>
          <w:p>
            <w:r>
              <w:rPr>
                <w:sz w:val="18"/>
                <w:szCs w:val="18"/>
              </w:rPr>
              <w:t xml:space="preserve">This criterion is obsolete and removed in WCAG 2.2 and automatically considered satisfied.</w:t>
            </w:r>
          </w:p>
        </w:tc>
      </w:tr>
      <w:tr>
        <w:tc>
          <w:tcPr>
            <w:tcW w:type="dxa" w:w="3000"/>
          </w:tcPr>
          <w:p>
            <w:r>
              <w:rPr>
                <w:sz w:val="18"/>
                <w:szCs w:val="18"/>
              </w:rPr>
              <w:t xml:space="preserve">4.1.2 Name, Role, Value</w:t>
            </w:r>
          </w:p>
        </w:tc>
        <w:tc>
          <w:tcPr>
            <w:tcW w:type="dxa" w:w="1800"/>
          </w:tcPr>
          <w:p>
            <w:r>
              <w:rPr>
                <w:b/>
                <w:bCs/>
                <w:color w:val="c00000"/>
                <w:sz w:val="18"/>
                <w:szCs w:val="18"/>
              </w:rPr>
              <w:t xml:space="preserve">Does Not Support</w:t>
            </w:r>
          </w:p>
        </w:tc>
        <w:tc>
          <w:tcPr>
            <w:tcW w:type="dxa" w:w="4560"/>
          </w:tcPr>
          <w:p>
            <w:r>
              <w:rPr>
                <w:sz w:val="18"/>
                <w:szCs w:val="18"/>
              </w:rPr>
              <w:t xml:space="preserve">Interactive element has empty or minimal accessible name: Interactive element (a) has an empty or single-character accessible name: "". Screen reader users cannot determine its purpose. Fix: Add a descriptive aria-label to this a element. (Screenshot evidence captured — see audit report for visual confirmation.) | Icon name "help" leaks into accessible label: Element announces as "help@sendproud.com" — starts with icon name "help". Add aria-hidden="true" to the icon element inside this control. Fix: Add aria-hidden="true" to the icon element inside this a, or use a proper aria-label.</w:t>
            </w:r>
          </w:p>
        </w:tc>
      </w:tr>
    </w:tbl>
    <w:p>
      <w:pPr>
        <w:pStyle w:val="Heading2"/>
        <w:spacing w:after="200" w:before="400"/>
      </w:pPr>
      <w:r>
        <w:rPr>
          <w:b/>
          <w:bCs/>
          <w:sz w:val="28"/>
          <w:szCs w:val="28"/>
        </w:rPr>
        <w:t xml:space="preserve">Table 2: Success Criteria, Level AA</w:t>
      </w:r>
    </w:p>
    <w:tbl>
      <w:tblPr>
        <w:tblW w:type="dxa" w:w="9360"/>
        <w:tblBorders>
          <w:top w:val="single" w:color="auto" w:sz="4"/>
          <w:left w:val="single" w:color="auto" w:sz="4"/>
          <w:bottom w:val="single" w:color="auto" w:sz="4"/>
          <w:right w:val="single" w:color="auto" w:sz="4"/>
          <w:insideH w:val="single" w:color="auto" w:sz="4"/>
          <w:insideV w:val="single" w:color="auto" w:sz="4"/>
        </w:tblBorders>
        <w:tblLayout w:type="fixed"/>
      </w:tblPr>
      <w:tblGrid>
        <w:gridCol w:w="100"/>
        <w:gridCol w:w="100"/>
        <w:gridCol w:w="100"/>
      </w:tblGrid>
      <w:tr>
        <w:trPr>
          <w:tblHeader/>
        </w:trPr>
        <w:tc>
          <w:tcPr>
            <w:tcW w:type="dxa" w:w="3000"/>
            <w:shd w:fill="1e3a5f" w:color="1e3a5f" w:val="solid"/>
          </w:tcPr>
          <w:p>
            <w:r>
              <w:rPr>
                <w:b/>
                <w:bCs/>
                <w:color w:val="ffffff"/>
                <w:sz w:val="20"/>
                <w:szCs w:val="20"/>
              </w:rPr>
              <w:t xml:space="preserve">Criteria</w:t>
            </w:r>
          </w:p>
        </w:tc>
        <w:tc>
          <w:tcPr>
            <w:tcW w:type="dxa" w:w="1800"/>
            <w:shd w:fill="1e3a5f" w:color="1e3a5f" w:val="solid"/>
          </w:tcPr>
          <w:p>
            <w:r>
              <w:rPr>
                <w:b/>
                <w:bCs/>
                <w:color w:val="ffffff"/>
                <w:sz w:val="20"/>
                <w:szCs w:val="20"/>
              </w:rPr>
              <w:t xml:space="preserve">Conformance Level</w:t>
            </w:r>
          </w:p>
        </w:tc>
        <w:tc>
          <w:tcPr>
            <w:tcW w:type="dxa" w:w="4560"/>
            <w:shd w:fill="1e3a5f" w:color="1e3a5f" w:val="solid"/>
          </w:tcPr>
          <w:p>
            <w:r>
              <w:rPr>
                <w:b/>
                <w:bCs/>
                <w:color w:val="ffffff"/>
                <w:sz w:val="20"/>
                <w:szCs w:val="20"/>
              </w:rPr>
              <w:t xml:space="preserve">Remarks and Explanations</w:t>
            </w:r>
          </w:p>
        </w:tc>
      </w:tr>
      <w:tr>
        <w:tc>
          <w:tcPr>
            <w:tcW w:type="dxa" w:w="3000"/>
            <w:shd w:fill="dce6f1" w:color="dce6f1" w:val="solid"/>
          </w:tcPr>
          <w:p>
            <w:r>
              <w:rPr>
                <w:b/>
                <w:bCs/>
                <w:sz w:val="20"/>
                <w:szCs w:val="20"/>
              </w:rPr>
              <w:t xml:space="preserve">Principle 1: Perceivable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1.2.4 Captions (Live)</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1.2.5 Audio Description (Prerecorded)</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1.3.4 Orientation</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1.3.5 Identify Input Purpose</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1.4.3 Contrast (Minimum)</w:t>
            </w:r>
          </w:p>
        </w:tc>
        <w:tc>
          <w:tcPr>
            <w:tcW w:type="dxa" w:w="1800"/>
          </w:tcPr>
          <w:p>
            <w:r>
              <w:rPr>
                <w:b/>
                <w:bCs/>
                <w:color w:val="c00000"/>
                <w:sz w:val="18"/>
                <w:szCs w:val="18"/>
              </w:rPr>
              <w:t xml:space="preserve">Does Not Support</w:t>
            </w:r>
          </w:p>
        </w:tc>
        <w:tc>
          <w:tcPr>
            <w:tcW w:type="dxa" w:w="4560"/>
          </w:tcPr>
          <w:p>
            <w:r>
              <w:rPr>
                <w:sz w:val="18"/>
                <w:szCs w:val="18"/>
              </w:rPr>
              <w:t xml:space="preserve">Elements must meet minimum color contrast ratio thresholds: Ensure the contrast between foreground and background colors meets WCAG 2 AA minimum contrast ratio thresholds Fix: Element has insufficient color contrast of 3.91 (foreground color: #718488, background color: #082930, font size: 11.3pt (15px), font weight: normal). Expected contrast ratio of 4.5:1 | Elements must meet minimum color contrast ratio thresholds: Ensure the contrast between foreground and background colors meets WCAG 2 AA minimum contrast ratio thresholds Fix: Manual review: Elements must meet minimum color contrast ratio thresholds</w:t>
            </w:r>
          </w:p>
        </w:tc>
      </w:tr>
      <w:tr>
        <w:tc>
          <w:tcPr>
            <w:tcW w:type="dxa" w:w="3000"/>
          </w:tcPr>
          <w:p>
            <w:r>
              <w:rPr>
                <w:sz w:val="18"/>
                <w:szCs w:val="18"/>
              </w:rPr>
              <w:t xml:space="preserve">1.4.4 Resize Text</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1.4.5 Images of Text</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1.4.10 Reflow</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1.4.11 Non-text Contrast</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1.4.12 Text Spacing</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1.4.13 Content on Hover or Focus</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shd w:fill="dce6f1" w:color="dce6f1" w:val="solid"/>
          </w:tcPr>
          <w:p>
            <w:r>
              <w:rPr>
                <w:b/>
                <w:bCs/>
                <w:sz w:val="20"/>
                <w:szCs w:val="20"/>
              </w:rPr>
              <w:t xml:space="preserve">Principle 2: Operable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2.4.5 Multiple Ways</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2.4.6 Headings and Labels</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2.4.7 Focus Visible</w:t>
            </w:r>
          </w:p>
        </w:tc>
        <w:tc>
          <w:tcPr>
            <w:tcW w:type="dxa" w:w="1800"/>
          </w:tcPr>
          <w:p>
            <w:r>
              <w:rPr>
                <w:b/>
                <w:bCs/>
                <w:color w:val="b85c00"/>
                <w:sz w:val="18"/>
                <w:szCs w:val="18"/>
              </w:rPr>
              <w:t xml:space="preserve">Partially Supports</w:t>
            </w:r>
          </w:p>
        </w:tc>
        <w:tc>
          <w:tcPr>
            <w:tcW w:type="dxa" w:w="4560"/>
          </w:tcPr>
          <w:p>
            <w:r>
              <w:rPr>
                <w:sz w:val="18"/>
                <w:szCs w:val="18"/>
              </w:rPr>
              <w:t xml:space="preserve">Most interactive elements have visible focus indicators detected by automated testing. Manual keyboard-only navigation testing recommended to verify all interactive elements meet the 3:1 contrast ratio for focus indicators.</w:t>
            </w:r>
          </w:p>
        </w:tc>
      </w:tr>
      <w:tr>
        <w:tc>
          <w:tcPr>
            <w:tcW w:type="dxa" w:w="3000"/>
            <w:shd w:fill="dce6f1" w:color="dce6f1" w:val="solid"/>
          </w:tcPr>
          <w:p>
            <w:r>
              <w:rPr>
                <w:b/>
                <w:bCs/>
                <w:sz w:val="20"/>
                <w:szCs w:val="20"/>
              </w:rPr>
              <w:t xml:space="preserve">Principle 3: Understandable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3.1.2 Language of Parts</w:t>
            </w:r>
          </w:p>
        </w:tc>
        <w:tc>
          <w:tcPr>
            <w:tcW w:type="dxa" w:w="1800"/>
          </w:tcPr>
          <w:p>
            <w:r>
              <w:rPr>
                <w:b/>
                <w:bCs/>
                <w:color w:val="107c10"/>
                <w:sz w:val="18"/>
                <w:szCs w:val="18"/>
              </w:rPr>
              <w:t xml:space="preserve">Supports</w:t>
            </w:r>
          </w:p>
        </w:tc>
        <w:tc>
          <w:tcPr>
            <w:tcW w:type="dxa" w:w="4560"/>
          </w:tcPr>
          <w:p>
            <w:r>
              <w:rPr>
                <w:sz w:val="18"/>
                <w:szCs w:val="18"/>
              </w:rPr>
              <w:t xml:space="preserve">Verified by automated testing — no issues detected.</w:t>
            </w:r>
          </w:p>
        </w:tc>
      </w:tr>
      <w:tr>
        <w:tc>
          <w:tcPr>
            <w:tcW w:type="dxa" w:w="3000"/>
          </w:tcPr>
          <w:p>
            <w:r>
              <w:rPr>
                <w:sz w:val="18"/>
                <w:szCs w:val="18"/>
              </w:rPr>
              <w:t xml:space="preserve">3.2.3 Consistent Navigation</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3.2.4 Consistent Identification</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3.3.3 Error Suggestion</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tcPr>
          <w:p>
            <w:r>
              <w:rPr>
                <w:sz w:val="18"/>
                <w:szCs w:val="18"/>
              </w:rPr>
              <w:t xml:space="preserve">3.3.4 Error Prevention (Legal, Financial, Data)</w:t>
            </w:r>
          </w:p>
        </w:tc>
        <w:tc>
          <w:tcPr>
            <w:tcW w:type="dxa" w:w="1800"/>
          </w:tcPr>
          <w:p>
            <w:r>
              <w:rPr>
                <w:b/>
                <w:bCs/>
                <w:color w:val="666666"/>
                <w:sz w:val="18"/>
                <w:szCs w:val="18"/>
              </w:rPr>
              <w:t xml:space="preserve">Not Evaluated</w:t>
            </w:r>
          </w:p>
        </w:tc>
        <w:tc>
          <w:tcPr>
            <w:tcW w:type="dxa" w:w="4560"/>
          </w:tcPr>
          <w:p>
            <w:r>
              <w:rPr>
                <w:sz w:val="18"/>
                <w:szCs w:val="18"/>
              </w:rPr>
              <w:t xml:space="preserve">Not evaluated by automated testing. Manual review recommended.</w:t>
            </w:r>
          </w:p>
        </w:tc>
      </w:tr>
      <w:tr>
        <w:tc>
          <w:tcPr>
            <w:tcW w:type="dxa" w:w="3000"/>
            <w:shd w:fill="dce6f1" w:color="dce6f1" w:val="solid"/>
          </w:tcPr>
          <w:p>
            <w:r>
              <w:rPr>
                <w:b/>
                <w:bCs/>
                <w:sz w:val="20"/>
                <w:szCs w:val="20"/>
              </w:rPr>
              <w:t xml:space="preserve">Principle 4: Robust</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4.1.3 Status Messages</w:t>
            </w:r>
          </w:p>
        </w:tc>
        <w:tc>
          <w:tcPr>
            <w:tcW w:type="dxa" w:w="1800"/>
          </w:tcPr>
          <w:p>
            <w:r>
              <w:rPr>
                <w:b/>
                <w:bCs/>
                <w:color w:val="b85c00"/>
                <w:sz w:val="18"/>
                <w:szCs w:val="18"/>
              </w:rPr>
              <w:t xml:space="preserve">Partially Supports</w:t>
            </w:r>
          </w:p>
        </w:tc>
        <w:tc>
          <w:tcPr>
            <w:tcW w:type="dxa" w:w="4560"/>
          </w:tcPr>
          <w:p>
            <w:r>
              <w:rPr>
                <w:sz w:val="18"/>
                <w:szCs w:val="18"/>
              </w:rPr>
              <w:t xml:space="preserve">Form missing live region for feedback: Form has no role="alert" or aria-live container for error/success messages. Fix: Add a container with role="alert" or aria-live="polite" for form feedback messages.</w:t>
            </w:r>
          </w:p>
        </w:tc>
      </w:tr>
    </w:tbl>
    <w:p>
      <w:pPr>
        <w:pStyle w:val="Heading2"/>
        <w:spacing w:after="200" w:before="400"/>
      </w:pPr>
      <w:r>
        <w:rPr>
          <w:b/>
          <w:bCs/>
          <w:sz w:val="28"/>
          <w:szCs w:val="28"/>
        </w:rPr>
        <w:t xml:space="preserve">Table 3: Success Criteria, Level AAA (Partial)</w:t>
      </w:r>
    </w:p>
    <w:tbl>
      <w:tblPr>
        <w:tblW w:type="dxa" w:w="9360"/>
        <w:tblBorders>
          <w:top w:val="single" w:color="auto" w:sz="4"/>
          <w:left w:val="single" w:color="auto" w:sz="4"/>
          <w:bottom w:val="single" w:color="auto" w:sz="4"/>
          <w:right w:val="single" w:color="auto" w:sz="4"/>
          <w:insideH w:val="single" w:color="auto" w:sz="4"/>
          <w:insideV w:val="single" w:color="auto" w:sz="4"/>
        </w:tblBorders>
        <w:tblLayout w:type="fixed"/>
      </w:tblPr>
      <w:tblGrid>
        <w:gridCol w:w="100"/>
        <w:gridCol w:w="100"/>
        <w:gridCol w:w="100"/>
      </w:tblGrid>
      <w:tr>
        <w:trPr>
          <w:tblHeader/>
        </w:trPr>
        <w:tc>
          <w:tcPr>
            <w:tcW w:type="dxa" w:w="3000"/>
            <w:shd w:fill="1e3a5f" w:color="1e3a5f" w:val="solid"/>
          </w:tcPr>
          <w:p>
            <w:r>
              <w:rPr>
                <w:b/>
                <w:bCs/>
                <w:color w:val="ffffff"/>
                <w:sz w:val="20"/>
                <w:szCs w:val="20"/>
              </w:rPr>
              <w:t xml:space="preserve">Criteria</w:t>
            </w:r>
          </w:p>
        </w:tc>
        <w:tc>
          <w:tcPr>
            <w:tcW w:type="dxa" w:w="1800"/>
            <w:shd w:fill="1e3a5f" w:color="1e3a5f" w:val="solid"/>
          </w:tcPr>
          <w:p>
            <w:r>
              <w:rPr>
                <w:b/>
                <w:bCs/>
                <w:color w:val="ffffff"/>
                <w:sz w:val="20"/>
                <w:szCs w:val="20"/>
              </w:rPr>
              <w:t xml:space="preserve">Conformance Level</w:t>
            </w:r>
          </w:p>
        </w:tc>
        <w:tc>
          <w:tcPr>
            <w:tcW w:type="dxa" w:w="4560"/>
            <w:shd w:fill="1e3a5f" w:color="1e3a5f" w:val="solid"/>
          </w:tcPr>
          <w:p>
            <w:r>
              <w:rPr>
                <w:b/>
                <w:bCs/>
                <w:color w:val="ffffff"/>
                <w:sz w:val="20"/>
                <w:szCs w:val="20"/>
              </w:rPr>
              <w:t xml:space="preserve">Remarks and Explanations</w:t>
            </w:r>
          </w:p>
        </w:tc>
      </w:tr>
      <w:tr>
        <w:tc>
          <w:tcPr>
            <w:tcW w:type="dxa" w:w="3000"/>
            <w:shd w:fill="dce6f1" w:color="dce6f1" w:val="solid"/>
          </w:tcPr>
          <w:p>
            <w:r>
              <w:rPr>
                <w:b/>
                <w:bCs/>
                <w:sz w:val="20"/>
                <w:szCs w:val="20"/>
              </w:rPr>
              <w:t xml:space="preserve">Principle 2: Operable</w:t>
            </w:r>
          </w:p>
        </w:tc>
        <w:tc>
          <w:tcPr>
            <w:tcW w:type="dxa" w:w="1800"/>
            <w:shd w:fill="dce6f1" w:color="dce6f1" w:val="solid"/>
          </w:tcPr>
          <w:p>
            <w:r>
              <w:rPr>
                <w:i/>
                <w:iCs/>
                <w:color w:val="666666"/>
                <w:sz w:val="18"/>
                <w:szCs w:val="18"/>
              </w:rPr>
              <w:t xml:space="preserve">Heading cell – no response required</w:t>
            </w:r>
          </w:p>
        </w:tc>
        <w:tc>
          <w:tcPr>
            <w:tcW w:type="dxa" w:w="4560"/>
            <w:shd w:fill="dce6f1" w:color="dce6f1" w:val="solid"/>
          </w:tcPr>
          <w:p>
            <w:r>
              <w:rPr>
                <w:i/>
                <w:iCs/>
                <w:color w:val="666666"/>
                <w:sz w:val="18"/>
                <w:szCs w:val="18"/>
              </w:rPr>
              <w:t xml:space="preserve">Heading cell – no response required</w:t>
            </w:r>
          </w:p>
        </w:tc>
      </w:tr>
      <w:tr>
        <w:tc>
          <w:tcPr>
            <w:tcW w:type="dxa" w:w="3000"/>
          </w:tcPr>
          <w:p>
            <w:r>
              <w:rPr>
                <w:sz w:val="18"/>
                <w:szCs w:val="18"/>
              </w:rPr>
              <w:t xml:space="preserve">2.3.3 Animation from Interactions</w:t>
            </w:r>
          </w:p>
        </w:tc>
        <w:tc>
          <w:tcPr>
            <w:tcW w:type="dxa" w:w="1800"/>
          </w:tcPr>
          <w:p>
            <w:r>
              <w:rPr>
                <w:b/>
                <w:bCs/>
                <w:color w:val="b85c00"/>
                <w:sz w:val="18"/>
                <w:szCs w:val="18"/>
              </w:rPr>
              <w:t xml:space="preserve">Partially Supports</w:t>
            </w:r>
          </w:p>
        </w:tc>
        <w:tc>
          <w:tcPr>
            <w:tcW w:type="dxa" w:w="4560"/>
          </w:tcPr>
          <w:p>
            <w:r>
              <w:rPr>
                <w:sz w:val="18"/>
                <w:szCs w:val="18"/>
              </w:rPr>
              <w:t xml:space="preserve">@media (prefers-reduced-motion) not detected in inline CSS: No prefers-reduced-motion media query found in inline styles. May exist in external stylesheets. Fix: Add @media (prefers-reduced-motion: reduce) { * { animation: none !important; transition: none !important; } }</w:t>
            </w:r>
          </w:p>
        </w:tc>
      </w:tr>
    </w:tbl>
    <w:p>
      <w:pPr>
        <w:spacing w:before="400"/>
      </w:pPr>
    </w:p>
    <w:p>
      <w:pPr>
        <w:pStyle w:val="Heading2"/>
        <w:spacing w:after="100"/>
      </w:pPr>
      <w:r>
        <w:rPr>
          <w:b/>
          <w:bCs/>
          <w:sz w:val="24"/>
          <w:szCs w:val="24"/>
        </w:rPr>
        <w:t xml:space="preserve">Disclaimer</w:t>
      </w:r>
    </w:p>
    <w:p>
      <w:r>
        <w:rPr>
          <w:i/>
          <w:iCs/>
          <w:color w:val="666666"/>
          <w:sz w:val="18"/>
          <w:szCs w:val="18"/>
        </w:rPr>
        <w:t xml:space="preserve">This Accessibility Conformance Report is based on automated testing performed by AccessSpark using axe-core 4.9.1 (Deque Systems, MPL 2.0). Automated tools can identify many accessibility barriers but cannot detect all issues. Manual testing with assistive technologies (screen readers, keyboard navigation, magnification) is strongly recommended for a comprehensive evaluation. VPAT® is a registered service mark of the Information Technology Industry Council (ITI).</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Page </w:t>
    </w:r>
    <w:r>
      <w:rPr>
        <w:color w:val="999999"/>
        <w:sz w:val="16"/>
        <w:szCs w:val="16"/>
      </w:rPr>
      <w:fldChar w:fldCharType="begin"/>
      <w:instrText xml:space="preserve">PAGE</w:instrText>
      <w:fldChar w:fldCharType="separate"/>
      <w:fldChar w:fldCharType="end"/>
    </w:r>
    <w:r>
      <w:rPr>
        <w:color w:val="999999"/>
        <w:sz w:val="16"/>
        <w:szCs w:val="16"/>
      </w:rPr>
      <w:t xml:space="preserve"> of </w:t>
    </w:r>
    <w:r>
      <w:rPr>
        <w:color w:val="99999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VPAT® 2.5 – www.sendproud.com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2026-05-21T17:28:45.804Z</dcterms:created>
  <dcterms:modified xsi:type="dcterms:W3CDTF">2026-05-21T17:28:45.804Z</dcterms:modified>
</cp:coreProperties>
</file>

<file path=docProps/custom.xml><?xml version="1.0" encoding="utf-8"?>
<Properties xmlns="http://schemas.openxmlformats.org/officeDocument/2006/custom-properties" xmlns:vt="http://schemas.openxmlformats.org/officeDocument/2006/docPropsVTypes"/>
</file>